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FCB9476-E5C5-4600-BB4F-A21405BED27C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